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35A2" w14:textId="77777777" w:rsidR="005A1A61" w:rsidRPr="00A159F0" w:rsidRDefault="005A1A61" w:rsidP="005A1A61">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ETİK KURALLAR UYUM BEYANI</w:t>
      </w:r>
    </w:p>
    <w:p w14:paraId="0F3D484B" w14:textId="77777777" w:rsidR="005A1A61" w:rsidRPr="00A159F0" w:rsidRDefault="005A1A61" w:rsidP="005A1A61">
      <w:pPr>
        <w:spacing w:after="0" w:line="360" w:lineRule="auto"/>
        <w:ind w:left="0" w:right="0" w:firstLine="0"/>
        <w:jc w:val="left"/>
        <w:rPr>
          <w:rFonts w:asciiTheme="minorHAnsi" w:hAnsiTheme="minorHAnsi" w:cstheme="minorHAnsi"/>
          <w:b/>
          <w:sz w:val="22"/>
        </w:rPr>
      </w:pPr>
    </w:p>
    <w:p w14:paraId="3D0B20D1" w14:textId="77777777" w:rsidR="005A1A61" w:rsidRPr="00A159F0" w:rsidRDefault="005A1A61" w:rsidP="005A1A61">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Aşağıda belirtilen Mühendisliğin temel ilkelerini biliyor ve kabul ediyorum.</w:t>
      </w:r>
    </w:p>
    <w:tbl>
      <w:tblPr>
        <w:tblStyle w:val="TabloKlavuzu"/>
        <w:tblW w:w="0" w:type="auto"/>
        <w:tblLook w:val="04A0" w:firstRow="1" w:lastRow="0" w:firstColumn="1" w:lastColumn="0" w:noHBand="0" w:noVBand="1"/>
      </w:tblPr>
      <w:tblGrid>
        <w:gridCol w:w="1555"/>
        <w:gridCol w:w="2126"/>
        <w:gridCol w:w="5381"/>
      </w:tblGrid>
      <w:tr w:rsidR="005A1A61" w:rsidRPr="00A159F0" w14:paraId="04D3A876" w14:textId="77777777" w:rsidTr="000D2603">
        <w:tc>
          <w:tcPr>
            <w:tcW w:w="1555" w:type="dxa"/>
          </w:tcPr>
          <w:p w14:paraId="6EF6B4E9"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09873753"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23621530"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r w:rsidR="005A1A61" w:rsidRPr="00A159F0" w14:paraId="3DC99DD8" w14:textId="77777777" w:rsidTr="000D2603">
        <w:tc>
          <w:tcPr>
            <w:tcW w:w="1555" w:type="dxa"/>
          </w:tcPr>
          <w:p w14:paraId="46F2580F"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5A292332"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773816A5"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r w:rsidR="005A1A61" w:rsidRPr="00A159F0" w14:paraId="33B8FD21" w14:textId="77777777" w:rsidTr="000D2603">
        <w:tc>
          <w:tcPr>
            <w:tcW w:w="1555" w:type="dxa"/>
          </w:tcPr>
          <w:p w14:paraId="7AB94281"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3039434E"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1FD7C54E"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bl>
    <w:p w14:paraId="5AD3B2E1" w14:textId="77777777" w:rsidR="005A1A61" w:rsidRDefault="005A1A61" w:rsidP="005A1A61">
      <w:pPr>
        <w:spacing w:after="0" w:line="360" w:lineRule="auto"/>
        <w:ind w:left="0" w:right="0" w:firstLine="0"/>
        <w:rPr>
          <w:rFonts w:asciiTheme="minorHAnsi" w:hAnsiTheme="minorHAnsi" w:cstheme="minorHAnsi"/>
          <w:sz w:val="22"/>
        </w:rPr>
      </w:pPr>
    </w:p>
    <w:p w14:paraId="06823E0E" w14:textId="77777777" w:rsidR="005A1A61" w:rsidRPr="00A159F0" w:rsidRDefault="005A1A61" w:rsidP="005A1A61">
      <w:pPr>
        <w:spacing w:after="0" w:line="360" w:lineRule="auto"/>
        <w:ind w:left="0" w:right="0" w:firstLine="0"/>
        <w:rPr>
          <w:rFonts w:asciiTheme="minorHAnsi" w:hAnsiTheme="minorHAnsi" w:cstheme="minorHAnsi"/>
          <w:sz w:val="22"/>
        </w:rPr>
      </w:pPr>
      <w:r w:rsidRPr="00A159F0">
        <w:rPr>
          <w:rFonts w:asciiTheme="minorHAnsi" w:hAnsiTheme="minorHAnsi" w:cstheme="minorHAnsi"/>
          <w:sz w:val="22"/>
        </w:rPr>
        <w:t>Mühendisler; mühendislik mesleğinin doğruluğunu, onurunu ve değerini insanlığın refahının artması için kendi bilgi ve becerilerini kullanarak, dürüst ve tarafsız olarak halka, kendi işverenlerine ve müşterilerine sadakatle hizmet ederek, mühendislik mesleğinin yeteneğini ve prestijini artırmaya çabalayarak, kendi disiplinlerinin mesleki ve teknik birliğini destekleyerek yüceltir ve geliştirirler.</w:t>
      </w:r>
    </w:p>
    <w:p w14:paraId="4D934A2B"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Mühendisler, mesleki görevlerini yerine getirirken toplumun güvenliğini, sağlığını ve rahatını en önde tutacaktır.</w:t>
      </w:r>
    </w:p>
    <w:p w14:paraId="26913E79"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Mühendisler, sadece yetkili oldukları alanlarda hizmet vereceklerdir.</w:t>
      </w:r>
    </w:p>
    <w:p w14:paraId="2D165C2F"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 xml:space="preserve">Mühendisler, sadece objektif ve gerçekçi raporlar düzenleyeceklerdir. </w:t>
      </w:r>
    </w:p>
    <w:p w14:paraId="4DDB41B4"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 xml:space="preserve">Mühendisler, mesleki konularda işveren veya müşteri için güvenilir vekil veya yardımcı olarak davranacaklar ve çıkar çatışmalarından kaçınacaklardır. </w:t>
      </w:r>
    </w:p>
    <w:p w14:paraId="6F746CEE"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 xml:space="preserve">Mühendisler mesleki itibarlarını hizmetlerinin gereğine göre tesis edecekler ve diğer meslektaşlarıyla haksız rekabete girmeyeceklerdir. </w:t>
      </w:r>
    </w:p>
    <w:p w14:paraId="6083DECB"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 xml:space="preserve">Mühendisler, meslek doğruluğunu, onurunu ve değerini yüceltmek ve geliştirmek için çalışacaklardır. </w:t>
      </w:r>
    </w:p>
    <w:p w14:paraId="3E070729" w14:textId="77777777" w:rsidR="005A1A61" w:rsidRPr="00A159F0" w:rsidRDefault="005A1A61" w:rsidP="005A1A61">
      <w:pPr>
        <w:pStyle w:val="ListeParagraf"/>
        <w:numPr>
          <w:ilvl w:val="0"/>
          <w:numId w:val="1"/>
        </w:numPr>
        <w:spacing w:after="0" w:line="360" w:lineRule="auto"/>
        <w:ind w:right="0"/>
        <w:jc w:val="left"/>
        <w:rPr>
          <w:rFonts w:asciiTheme="minorHAnsi" w:hAnsiTheme="minorHAnsi" w:cstheme="minorHAnsi"/>
          <w:sz w:val="22"/>
        </w:rPr>
      </w:pPr>
      <w:r w:rsidRPr="00A159F0">
        <w:rPr>
          <w:rFonts w:asciiTheme="minorHAnsi" w:hAnsiTheme="minorHAnsi" w:cstheme="minorHAnsi"/>
          <w:sz w:val="22"/>
        </w:rPr>
        <w:t>Mühendisler, mesleki gelişmelerini kendi kariyerleriyle devam ettirecekler ve kendi kontrolleri altındaki mühendislerin mesleki gelişmeleri için olanaklar sağlayacaklardır.</w:t>
      </w:r>
    </w:p>
    <w:p w14:paraId="2EAA7B93" w14:textId="77777777" w:rsidR="005A1A61" w:rsidRPr="00A159F0" w:rsidRDefault="005A1A61" w:rsidP="005A1A61">
      <w:pPr>
        <w:spacing w:after="0" w:line="360" w:lineRule="auto"/>
        <w:ind w:left="0" w:right="0" w:firstLine="0"/>
        <w:jc w:val="left"/>
        <w:rPr>
          <w:rFonts w:asciiTheme="minorHAnsi" w:hAnsiTheme="minorHAnsi" w:cstheme="minorHAnsi"/>
          <w:b/>
          <w:sz w:val="22"/>
        </w:rPr>
      </w:pPr>
    </w:p>
    <w:p w14:paraId="5D537B69" w14:textId="77777777" w:rsidR="005A1A61" w:rsidRPr="00A159F0" w:rsidRDefault="005A1A61" w:rsidP="005A1A61">
      <w:pPr>
        <w:spacing w:after="0" w:line="360" w:lineRule="auto"/>
        <w:ind w:left="0" w:right="0" w:firstLine="0"/>
        <w:jc w:val="left"/>
        <w:rPr>
          <w:rFonts w:asciiTheme="minorHAnsi" w:hAnsiTheme="minorHAnsi" w:cstheme="minorHAnsi"/>
          <w:b/>
          <w:sz w:val="22"/>
        </w:rPr>
      </w:pPr>
    </w:p>
    <w:p w14:paraId="66B25025" w14:textId="77777777" w:rsidR="005A1A61" w:rsidRPr="00A159F0" w:rsidRDefault="005A1A61" w:rsidP="005A1A61">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Bu raporda herhangi bir kaynaktan alıntı yapılmış kısımlar %</w:t>
      </w:r>
      <w:r>
        <w:rPr>
          <w:rFonts w:asciiTheme="minorHAnsi" w:hAnsiTheme="minorHAnsi" w:cstheme="minorHAnsi"/>
          <w:b/>
          <w:sz w:val="22"/>
        </w:rPr>
        <w:t>15</w:t>
      </w:r>
      <w:r w:rsidRPr="00A159F0">
        <w:rPr>
          <w:rFonts w:asciiTheme="minorHAnsi" w:hAnsiTheme="minorHAnsi" w:cstheme="minorHAnsi"/>
          <w:b/>
          <w:sz w:val="22"/>
        </w:rPr>
        <w:t>’d</w:t>
      </w:r>
      <w:r>
        <w:rPr>
          <w:rFonts w:asciiTheme="minorHAnsi" w:hAnsiTheme="minorHAnsi" w:cstheme="minorHAnsi"/>
          <w:b/>
          <w:sz w:val="22"/>
        </w:rPr>
        <w:t>e</w:t>
      </w:r>
      <w:r w:rsidRPr="00A159F0">
        <w:rPr>
          <w:rFonts w:asciiTheme="minorHAnsi" w:hAnsiTheme="minorHAnsi" w:cstheme="minorHAnsi"/>
          <w:b/>
          <w:sz w:val="22"/>
        </w:rPr>
        <w:t xml:space="preserve">n az, ve paragraf halinde birebir alıntı sayısının ise sıfır olduğunu beyan ediyorum. </w:t>
      </w:r>
    </w:p>
    <w:tbl>
      <w:tblPr>
        <w:tblStyle w:val="TabloKlavuzu"/>
        <w:tblW w:w="0" w:type="auto"/>
        <w:tblLook w:val="04A0" w:firstRow="1" w:lastRow="0" w:firstColumn="1" w:lastColumn="0" w:noHBand="0" w:noVBand="1"/>
      </w:tblPr>
      <w:tblGrid>
        <w:gridCol w:w="1555"/>
        <w:gridCol w:w="2126"/>
        <w:gridCol w:w="5381"/>
      </w:tblGrid>
      <w:tr w:rsidR="005A1A61" w:rsidRPr="00A159F0" w14:paraId="4ABD5E6A" w14:textId="77777777" w:rsidTr="000D2603">
        <w:tc>
          <w:tcPr>
            <w:tcW w:w="1555" w:type="dxa"/>
          </w:tcPr>
          <w:p w14:paraId="61B995F3"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27BA6472"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34AC22BC"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r w:rsidR="005A1A61" w:rsidRPr="00A159F0" w14:paraId="1C0A86CA" w14:textId="77777777" w:rsidTr="000D2603">
        <w:tc>
          <w:tcPr>
            <w:tcW w:w="1555" w:type="dxa"/>
          </w:tcPr>
          <w:p w14:paraId="5DDBD35C"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55485BDE"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53F93F9F"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r w:rsidR="005A1A61" w:rsidRPr="00A159F0" w14:paraId="31141D16" w14:textId="77777777" w:rsidTr="000D2603">
        <w:tc>
          <w:tcPr>
            <w:tcW w:w="1555" w:type="dxa"/>
          </w:tcPr>
          <w:p w14:paraId="5AE1A68F"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İsim</w:t>
            </w:r>
          </w:p>
        </w:tc>
        <w:tc>
          <w:tcPr>
            <w:tcW w:w="2126" w:type="dxa"/>
          </w:tcPr>
          <w:p w14:paraId="1DBF981D"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SOYİSİM</w:t>
            </w:r>
          </w:p>
        </w:tc>
        <w:tc>
          <w:tcPr>
            <w:tcW w:w="5381" w:type="dxa"/>
          </w:tcPr>
          <w:p w14:paraId="5A3B540B" w14:textId="77777777" w:rsidR="005A1A61" w:rsidRPr="00A159F0" w:rsidRDefault="005A1A61" w:rsidP="000D2603">
            <w:pPr>
              <w:spacing w:after="0" w:line="360" w:lineRule="auto"/>
              <w:ind w:left="0" w:right="0" w:firstLine="0"/>
              <w:jc w:val="left"/>
              <w:rPr>
                <w:rFonts w:asciiTheme="minorHAnsi" w:hAnsiTheme="minorHAnsi" w:cstheme="minorHAnsi"/>
                <w:b/>
                <w:sz w:val="22"/>
              </w:rPr>
            </w:pPr>
            <w:r w:rsidRPr="00A159F0">
              <w:rPr>
                <w:rFonts w:asciiTheme="minorHAnsi" w:hAnsiTheme="minorHAnsi" w:cstheme="minorHAnsi"/>
                <w:b/>
                <w:sz w:val="22"/>
              </w:rPr>
              <w:t>İMZA/TARİH:</w:t>
            </w:r>
          </w:p>
        </w:tc>
      </w:tr>
    </w:tbl>
    <w:p w14:paraId="6BACAED4" w14:textId="77777777" w:rsidR="005A1A61" w:rsidRPr="00A159F0" w:rsidRDefault="005A1A61" w:rsidP="005A1A61">
      <w:pPr>
        <w:spacing w:after="0" w:line="360" w:lineRule="auto"/>
        <w:ind w:left="0" w:right="0" w:firstLine="0"/>
        <w:jc w:val="left"/>
        <w:rPr>
          <w:rFonts w:asciiTheme="minorHAnsi" w:hAnsiTheme="minorHAnsi" w:cstheme="minorHAnsi"/>
          <w:b/>
          <w:sz w:val="22"/>
        </w:rPr>
      </w:pPr>
    </w:p>
    <w:p w14:paraId="5ABBF30D" w14:textId="77777777" w:rsidR="005A1A61" w:rsidRDefault="005A1A61" w:rsidP="005A1A61">
      <w:pPr>
        <w:spacing w:after="0" w:line="360" w:lineRule="auto"/>
        <w:ind w:left="0" w:right="0" w:firstLine="0"/>
        <w:jc w:val="left"/>
        <w:rPr>
          <w:rFonts w:asciiTheme="minorHAnsi" w:hAnsiTheme="minorHAnsi" w:cstheme="minorHAnsi"/>
          <w:b/>
          <w:sz w:val="22"/>
        </w:rPr>
      </w:pPr>
    </w:p>
    <w:p w14:paraId="77681342" w14:textId="77777777" w:rsidR="005A54BF" w:rsidRDefault="005A54BF"/>
    <w:p w14:paraId="6EB7CD80" w14:textId="77777777" w:rsidR="005A1A61" w:rsidRDefault="005A1A61"/>
    <w:p w14:paraId="1C539187" w14:textId="77777777" w:rsidR="005A1A61" w:rsidRDefault="005A1A61"/>
    <w:p w14:paraId="4D029C6B" w14:textId="77777777" w:rsidR="005A1A61" w:rsidRPr="000264FA" w:rsidRDefault="005A1A61" w:rsidP="005A1A61">
      <w:pPr>
        <w:spacing w:after="0" w:line="240" w:lineRule="auto"/>
        <w:ind w:left="0" w:right="0" w:firstLine="0"/>
        <w:jc w:val="left"/>
        <w:rPr>
          <w:rFonts w:asciiTheme="minorHAnsi" w:hAnsiTheme="minorHAnsi" w:cstheme="minorHAnsi"/>
          <w:b/>
          <w:sz w:val="22"/>
        </w:rPr>
      </w:pPr>
      <w:r w:rsidRPr="000264FA">
        <w:rPr>
          <w:rFonts w:asciiTheme="minorHAnsi" w:hAnsiTheme="minorHAnsi" w:cstheme="minorHAnsi"/>
          <w:b/>
          <w:sz w:val="22"/>
        </w:rPr>
        <w:lastRenderedPageBreak/>
        <w:t>IEEE</w:t>
      </w:r>
      <w:r>
        <w:rPr>
          <w:rFonts w:asciiTheme="minorHAnsi" w:hAnsiTheme="minorHAnsi" w:cstheme="minorHAnsi"/>
          <w:b/>
          <w:sz w:val="22"/>
        </w:rPr>
        <w:t xml:space="preserve"> ETİK KURALLARI :Rapora olduğu gibi eklenecektir. </w:t>
      </w:r>
    </w:p>
    <w:p w14:paraId="78378D6F" w14:textId="77777777" w:rsidR="005A1A61" w:rsidRDefault="005A1A61" w:rsidP="005A1A61">
      <w:pPr>
        <w:spacing w:after="0" w:line="240" w:lineRule="auto"/>
        <w:ind w:left="0" w:right="0" w:firstLine="0"/>
        <w:jc w:val="left"/>
        <w:rPr>
          <w:rFonts w:asciiTheme="minorHAnsi" w:hAnsiTheme="minorHAnsi" w:cstheme="minorHAnsi"/>
          <w:sz w:val="22"/>
        </w:rPr>
      </w:pPr>
    </w:p>
    <w:tbl>
      <w:tblPr>
        <w:tblStyle w:val="TabloKlavuz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DF"/>
        <w:tblLook w:val="04A0" w:firstRow="1" w:lastRow="0" w:firstColumn="1" w:lastColumn="0" w:noHBand="0" w:noVBand="1"/>
      </w:tblPr>
      <w:tblGrid>
        <w:gridCol w:w="1985"/>
        <w:gridCol w:w="5103"/>
        <w:gridCol w:w="1984"/>
      </w:tblGrid>
      <w:tr w:rsidR="005A1A61" w14:paraId="1401ECC4" w14:textId="77777777" w:rsidTr="000D2603">
        <w:trPr>
          <w:trHeight w:val="1537"/>
        </w:trPr>
        <w:tc>
          <w:tcPr>
            <w:tcW w:w="1985" w:type="dxa"/>
            <w:shd w:val="clear" w:color="auto" w:fill="F1F2DF"/>
          </w:tcPr>
          <w:p w14:paraId="0639CFFE" w14:textId="77777777" w:rsidR="005A1A61" w:rsidRDefault="005A1A61" w:rsidP="000D2603">
            <w:r>
              <w:rPr>
                <w:noProof/>
                <w:lang w:val="en-US" w:eastAsia="en-US"/>
              </w:rPr>
              <w:drawing>
                <wp:inline distT="0" distB="0" distL="0" distR="0" wp14:anchorId="389D78D9" wp14:editId="0C31E6F1">
                  <wp:extent cx="940279" cy="1173269"/>
                  <wp:effectExtent l="0" t="0" r="0" b="8255"/>
                  <wp:docPr id="3"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5" cstate="print"/>
                          <a:stretch>
                            <a:fillRect/>
                          </a:stretch>
                        </pic:blipFill>
                        <pic:spPr>
                          <a:xfrm>
                            <a:off x="0" y="0"/>
                            <a:ext cx="940043" cy="1172974"/>
                          </a:xfrm>
                          <a:prstGeom prst="rect">
                            <a:avLst/>
                          </a:prstGeom>
                        </pic:spPr>
                      </pic:pic>
                    </a:graphicData>
                  </a:graphic>
                </wp:inline>
              </w:drawing>
            </w:r>
          </w:p>
        </w:tc>
        <w:tc>
          <w:tcPr>
            <w:tcW w:w="5103" w:type="dxa"/>
            <w:shd w:val="clear" w:color="auto" w:fill="F1F2DF"/>
          </w:tcPr>
          <w:p w14:paraId="72ECEFB4" w14:textId="77777777" w:rsidR="005A1A61" w:rsidRPr="00610488" w:rsidRDefault="005A1A61" w:rsidP="000D2603">
            <w:pPr>
              <w:rPr>
                <w:b/>
                <w:sz w:val="40"/>
              </w:rPr>
            </w:pPr>
          </w:p>
          <w:p w14:paraId="06B4C195" w14:textId="77777777" w:rsidR="005A1A61" w:rsidRPr="000264FA" w:rsidRDefault="005A1A61" w:rsidP="000D2603">
            <w:pPr>
              <w:rPr>
                <w:rFonts w:asciiTheme="minorHAnsi" w:hAnsiTheme="minorHAnsi" w:cstheme="minorHAnsi"/>
                <w:b/>
                <w:sz w:val="48"/>
                <w:szCs w:val="48"/>
              </w:rPr>
            </w:pPr>
            <w:r w:rsidRPr="000264FA">
              <w:rPr>
                <w:rFonts w:asciiTheme="minorHAnsi" w:hAnsiTheme="minorHAnsi" w:cstheme="minorHAnsi"/>
                <w:b/>
                <w:sz w:val="48"/>
                <w:szCs w:val="48"/>
              </w:rPr>
              <w:t>IEEE Etik Kuralları</w:t>
            </w:r>
          </w:p>
          <w:p w14:paraId="5F7327E6" w14:textId="77777777" w:rsidR="005A1A61" w:rsidRPr="00610488" w:rsidRDefault="005A1A61" w:rsidP="000D2603">
            <w:pPr>
              <w:rPr>
                <w:b/>
              </w:rPr>
            </w:pPr>
            <w:r w:rsidRPr="000264FA">
              <w:rPr>
                <w:rFonts w:asciiTheme="minorHAnsi" w:hAnsiTheme="minorHAnsi" w:cstheme="minorHAnsi"/>
                <w:b/>
                <w:sz w:val="48"/>
                <w:szCs w:val="48"/>
              </w:rPr>
              <w:t>IEEE Code of Ethics</w:t>
            </w:r>
          </w:p>
        </w:tc>
        <w:tc>
          <w:tcPr>
            <w:tcW w:w="1984" w:type="dxa"/>
            <w:shd w:val="clear" w:color="auto" w:fill="F1F2DF"/>
          </w:tcPr>
          <w:p w14:paraId="5FCE9A4A" w14:textId="77777777" w:rsidR="005A1A61" w:rsidRPr="00610488" w:rsidRDefault="005A1A61" w:rsidP="000D2603">
            <w:pPr>
              <w:rPr>
                <w:b/>
              </w:rPr>
            </w:pPr>
          </w:p>
        </w:tc>
      </w:tr>
    </w:tbl>
    <w:p w14:paraId="28E4D38D" w14:textId="77777777" w:rsidR="005A1A61" w:rsidRDefault="005A1A61" w:rsidP="005A1A61">
      <w:pPr>
        <w:spacing w:after="0" w:line="240" w:lineRule="auto"/>
        <w:ind w:left="0" w:right="0" w:firstLine="0"/>
        <w:jc w:val="left"/>
        <w:rPr>
          <w:rFonts w:asciiTheme="minorHAnsi" w:hAnsiTheme="minorHAnsi" w:cstheme="minorHAnsi"/>
          <w:sz w:val="22"/>
        </w:rPr>
      </w:pPr>
    </w:p>
    <w:p w14:paraId="6D949279" w14:textId="77777777" w:rsidR="005A1A61" w:rsidRDefault="005A1A61" w:rsidP="005A1A61">
      <w:pPr>
        <w:spacing w:after="0" w:line="240" w:lineRule="auto"/>
        <w:ind w:left="0" w:right="0" w:firstLine="0"/>
        <w:jc w:val="left"/>
        <w:rPr>
          <w:rFonts w:asciiTheme="minorHAnsi" w:hAnsiTheme="minorHAnsi" w:cstheme="minorHAnsi"/>
          <w:sz w:val="22"/>
        </w:rPr>
      </w:pPr>
    </w:p>
    <w:p w14:paraId="77C42C62" w14:textId="77777777" w:rsidR="005A1A61" w:rsidRDefault="005A1A61" w:rsidP="005A1A61">
      <w:pPr>
        <w:rPr>
          <w:rFonts w:asciiTheme="minorHAnsi" w:hAnsiTheme="minorHAnsi" w:cstheme="minorHAnsi"/>
          <w:b/>
          <w:szCs w:val="24"/>
        </w:rPr>
      </w:pPr>
      <w:r w:rsidRPr="000264FA">
        <w:rPr>
          <w:rFonts w:asciiTheme="minorHAnsi" w:hAnsiTheme="minorHAnsi" w:cstheme="minorHAnsi"/>
          <w:b/>
          <w:szCs w:val="24"/>
        </w:rPr>
        <w:t>IEEE üyeleri olarak bizler bütün dünya üzerinde teknolojilerimizin hayat standartlarını etkilemesindeki önemin farkındayız. Mesleğimize karşı şahsi sorumluluğumuzu kabul ederek, hizmet ettiğimiz toplumlara ve üyelerine en yüksek etik ve mesleki davranışta bulunmayı söz verdiğimizi ve aşağıdaki etik kuralları kabul ettiğimizi ifade ederiz.</w:t>
      </w:r>
    </w:p>
    <w:p w14:paraId="3BE79254" w14:textId="77777777" w:rsidR="005A1A61" w:rsidRPr="000264FA" w:rsidRDefault="005A1A61" w:rsidP="005A1A61">
      <w:pPr>
        <w:rPr>
          <w:rFonts w:asciiTheme="minorHAnsi" w:hAnsiTheme="minorHAnsi" w:cstheme="minorHAnsi"/>
          <w:b/>
          <w:szCs w:val="24"/>
        </w:rPr>
      </w:pPr>
    </w:p>
    <w:p w14:paraId="3DE57B8E"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Kamu güvenliği, sağlığı ve refahı ile uyumlu kararlar vermenin sorumluluğunu kabul etmek ve kamu veya çevreyi tehdit edebilecek faktörleri derhal açıklamak;</w:t>
      </w:r>
    </w:p>
    <w:p w14:paraId="27C1C4AA"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Mümkün olabilecek çıkar çatışması, ister gerçekten var olması isterse sadece algı olması, durumlarından kaçınmak. Çıkar çatışması olması durumunda, etkilenen taraflara durumu bildirmek;</w:t>
      </w:r>
    </w:p>
    <w:p w14:paraId="4FA26B93"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Mevcut verilere dayalı tahminlerde ve fikir beyan etmelerde gerçekçi ve dürüst olmak;</w:t>
      </w:r>
    </w:p>
    <w:p w14:paraId="2505BAA0"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Her türlü rüşveti reddetmek;</w:t>
      </w:r>
    </w:p>
    <w:p w14:paraId="67D545E5"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Mütenasip uygulamalarını ve muhtemel sonuçlarını gözeterek teknoloji anlayışını geliştirmek;</w:t>
      </w:r>
    </w:p>
    <w:p w14:paraId="7BE73DC0"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Teknik yeterliliklerimizi sürdürmek ve geliştirmek, yeterli eğitim veya tecrübe olması veya işin zorluk sınırları ifade edilmesi durumunda ancak başkaları için teknolojik sorumlulukları üstlenmek;</w:t>
      </w:r>
    </w:p>
    <w:p w14:paraId="7138ED9A"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Teknik bir çalışma hakkında yansız bir eleştiri için uğraşmak, eleştiriyi kabul etmek ve eleştiriyi yapmak; hatları kabul etmek ve düzeltmek; diğer katkı sunanların emeklerini ifade etmek;</w:t>
      </w:r>
    </w:p>
    <w:p w14:paraId="30001AB7"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Bütün kişilere adilane davranmak; ırk, din, cinsiyet, yaş, milliyet, cinsi tercih, cinsiyet kimliği, veya cinsiyet ifadesi üzerinden ayırımcılık yapma durumuna girişmemek;</w:t>
      </w:r>
    </w:p>
    <w:p w14:paraId="0F0DBC5E"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Yanlış veya kötü amaçlı eylemler sonucu kimsenin yaralanması, mülklerinin zarar görmesi, itibarlarının veya istihdamlarının zedelenmesi durumlarının oluşmasından kaçınmak;</w:t>
      </w:r>
    </w:p>
    <w:p w14:paraId="1D002C7B" w14:textId="77777777" w:rsidR="005A1A61" w:rsidRPr="000264FA" w:rsidRDefault="005A1A61" w:rsidP="005A1A61">
      <w:pPr>
        <w:pStyle w:val="ListeParagraf"/>
        <w:numPr>
          <w:ilvl w:val="0"/>
          <w:numId w:val="3"/>
        </w:numPr>
        <w:spacing w:after="120" w:line="240" w:lineRule="auto"/>
        <w:ind w:left="714" w:right="0" w:hanging="357"/>
        <w:contextualSpacing w:val="0"/>
        <w:rPr>
          <w:rFonts w:asciiTheme="minorHAnsi" w:hAnsiTheme="minorHAnsi" w:cstheme="minorHAnsi"/>
          <w:b/>
          <w:szCs w:val="24"/>
        </w:rPr>
      </w:pPr>
      <w:r w:rsidRPr="000264FA">
        <w:rPr>
          <w:rFonts w:asciiTheme="minorHAnsi" w:hAnsiTheme="minorHAnsi" w:cstheme="minorHAnsi"/>
          <w:b/>
          <w:szCs w:val="24"/>
        </w:rPr>
        <w:t>Meslektaşlara ve yardımcı personele mesleki gelişimlerinde yardımcı olmak ve onları desteklemek.</w:t>
      </w:r>
    </w:p>
    <w:p w14:paraId="2AB7255B" w14:textId="77777777" w:rsidR="005A1A61" w:rsidRPr="000264FA" w:rsidRDefault="005A1A61" w:rsidP="005A1A61">
      <w:pPr>
        <w:spacing w:after="0" w:line="240" w:lineRule="auto"/>
        <w:ind w:firstLine="2835"/>
        <w:rPr>
          <w:rFonts w:asciiTheme="minorHAnsi" w:hAnsiTheme="minorHAnsi" w:cstheme="minorHAnsi"/>
          <w:b/>
          <w:szCs w:val="24"/>
        </w:rPr>
      </w:pPr>
    </w:p>
    <w:p w14:paraId="4F20D027" w14:textId="77777777" w:rsidR="005A1A61" w:rsidRPr="000264FA" w:rsidRDefault="005A1A61" w:rsidP="005A1A61">
      <w:pPr>
        <w:spacing w:after="0" w:line="240" w:lineRule="auto"/>
        <w:ind w:firstLine="2835"/>
        <w:rPr>
          <w:rFonts w:asciiTheme="minorHAnsi" w:hAnsiTheme="minorHAnsi" w:cstheme="minorHAnsi"/>
          <w:b/>
          <w:szCs w:val="24"/>
        </w:rPr>
      </w:pPr>
    </w:p>
    <w:p w14:paraId="38DE3592" w14:textId="77777777" w:rsidR="005A1A61" w:rsidRDefault="005A1A61" w:rsidP="00A228C4">
      <w:pPr>
        <w:spacing w:after="0" w:line="240" w:lineRule="auto"/>
        <w:ind w:firstLine="2835"/>
        <w:jc w:val="right"/>
        <w:rPr>
          <w:rFonts w:asciiTheme="minorHAnsi" w:hAnsiTheme="minorHAnsi" w:cstheme="minorHAnsi"/>
          <w:b/>
          <w:szCs w:val="24"/>
        </w:rPr>
      </w:pPr>
      <w:r w:rsidRPr="000264FA">
        <w:rPr>
          <w:rFonts w:asciiTheme="minorHAnsi" w:hAnsiTheme="minorHAnsi" w:cstheme="minorHAnsi"/>
          <w:b/>
          <w:szCs w:val="24"/>
        </w:rPr>
        <w:t>IEEE Yönetim Kurulu tarafından Ağustos 1990’da onaylanmıştır.</w:t>
      </w:r>
    </w:p>
    <w:p w14:paraId="3FB9EDDE" w14:textId="77777777" w:rsidR="00A228C4" w:rsidRPr="00A228C4" w:rsidRDefault="00A228C4" w:rsidP="00A228C4">
      <w:pPr>
        <w:spacing w:after="0" w:line="240" w:lineRule="auto"/>
        <w:ind w:firstLine="2835"/>
        <w:jc w:val="right"/>
        <w:rPr>
          <w:rFonts w:asciiTheme="minorHAnsi" w:hAnsiTheme="minorHAnsi" w:cstheme="minorHAnsi"/>
          <w:b/>
          <w:szCs w:val="24"/>
        </w:rPr>
      </w:pPr>
    </w:p>
    <w:sectPr w:rsidR="00A228C4" w:rsidRPr="00A22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1194"/>
    <w:multiLevelType w:val="hybridMultilevel"/>
    <w:tmpl w:val="B0D4484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5E7578D6"/>
    <w:multiLevelType w:val="hybridMultilevel"/>
    <w:tmpl w:val="1BD2C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1E65FF"/>
    <w:multiLevelType w:val="hybridMultilevel"/>
    <w:tmpl w:val="5D3C3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61"/>
    <w:rsid w:val="0004084B"/>
    <w:rsid w:val="000F3CF2"/>
    <w:rsid w:val="002770BC"/>
    <w:rsid w:val="00585B4F"/>
    <w:rsid w:val="005A1A61"/>
    <w:rsid w:val="005A54BF"/>
    <w:rsid w:val="00733BDB"/>
    <w:rsid w:val="0094495B"/>
    <w:rsid w:val="00A228C4"/>
    <w:rsid w:val="00B27972"/>
    <w:rsid w:val="00E74608"/>
    <w:rsid w:val="00F10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58E2"/>
  <w15:chartTrackingRefBased/>
  <w15:docId w15:val="{724D098A-E2A8-4C96-8ADD-F134BD7D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61"/>
    <w:pPr>
      <w:spacing w:after="5" w:line="249" w:lineRule="auto"/>
      <w:ind w:left="10" w:right="1" w:hanging="10"/>
      <w:jc w:val="both"/>
    </w:pPr>
    <w:rPr>
      <w:rFonts w:ascii="Arial" w:eastAsia="Arial" w:hAnsi="Arial" w:cs="Arial"/>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1A6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Mehmet Turan Söylemez</cp:lastModifiedBy>
  <cp:revision>11</cp:revision>
  <dcterms:created xsi:type="dcterms:W3CDTF">2021-05-15T14:12:00Z</dcterms:created>
  <dcterms:modified xsi:type="dcterms:W3CDTF">2025-02-27T04:52:00Z</dcterms:modified>
</cp:coreProperties>
</file>